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2025年度苏州市救助管理站单位决算公开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对自愿受助且符合规定的城市生活无着流浪乞讨人员依法实施救助管理；对未成年人实施保护性救助；对受助人员无偿提供食物和住宿；保障受助人员的基本健康和安全需求；及时与受助人员的亲属或当地政府部门取得联系，并为无力返乡的受助人员提供乘车（船）凭证或护送其返乡。</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根据单位职责分工，本单位内设机构包括办公室、财务科、总务科（保卫科）、业务科、未成年人救助保护科。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今年以来，全站累计救助4540人次，其中站内救助3243人次，同比增长13.2%；站外救助1297人次；提供医疗救治494人次（其中精神障碍人员433人次，危重病人32人次），共安排特殊人群护送返乡321批次，为2395人次提供返乡乘车凭证。累计业务出车1393趟，安全行驶里程达41114公里。以“寒冬送温暖”、“夏季送清凉”及苏州火车站地区管理等专项行动为重要抓手，聚焦街面流浪乞讨人员救助需求，主动担当作为，累计开展巡查劝导212次，发放救助物资2609件次。结合社会关注热点，协助市局事务处形成《关于流浪乞讨人员救助管理改革落实情况的汇报》。</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在区域性中心试点建设上出实招。一是深化市县协同联动。定期组织各县级市（区）救助管理机构开展业务研讨、座谈交流等活动，推动全市救助管理工作向制度化、规范化方向稳步迈进。全年累计开展线下业务培训2次、线上视频会议1次。充分发挥市本级救助站在区域性中心建设中的示范引领、统筹协调与督导指导作用，积极拓展救助服务模式，协同破解疑难问题2个，逐步构建起信息互通、经验共享、资源统筹的市域协同救助工作新格局。二是拓展“救助+”服务。直面临时遇困群体生存发展难题，提供涵盖就业帮扶、心理援助、替代教育等一揽子精准服务，逐步构建起以“救助服务为基础、多元赋能为核心、社会融入为目标”的立体化帮扶体系。全年累计为256名对象提供相应帮扶。其中“救助+就业帮扶”在深化“就在苏州救有温度”创新服务项目的既有成果上，通过与人社部门、社会力量的跨维合作，持续向就业岗位池注入新活力，铺就临时遇困人员的“就业快车道”。引入“苏州民建爱心基金”1万元，为服务对象入职体检、证件办理等必要前期投入提供资金保障。全年共计助力66名临时遇困人员成功实现就业。三是织密服务网络。在全市范围构建“1+10+100”慈善救助服务网络，为困难群众提供了就近、便捷的救助服务平台。积极履行单位作为市级“慈善救助服务中心”的职责，制定全市慈善救助服务体系建设服务指引和驿站工作流程，指导10个慈善救助服务分中心和100个慈善救助服务驿站开展救助帮扶。自5月各驿站建成以来，共救助临时遇困人员1816人次。</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在打造全维度未成年人保护暖心服务阵地上谋实绩。一是优化服务空间，提升阵地温度。持续升级“小爱加油站”特色服务空间建设，对功能用房及走廊墙面进行全方位氛围改造，全面呈现站内受助儿童专业社会工作服务成果，进一步提升适配性与温馨感。二是细化服务路径，精准匹配需求。以“小站大爱”社工服务项目为抓手，构建差异化服务体系，基于受助儿童个体的多元化需求，实现“一类需求一套方案”的精准帮扶。全年累计提供专业服务212人次，其中个案服务200人次（替代教育78次，心理服务13次，就学就业指导34次，康乐活动85次），小组服务12次。三是深化部门联动，凝聚保护合力。主动与苏州市治安支队、火车站派出所、特殊未成年人户籍所在地救助管理机构或未保机构等单位建立“跨区域协作、同目标推进、全流程闭环”的联动机制，为受助儿童及其家庭提供全过程支持与全链条保护。四是深耕专业建设，扩大实务成果。发挥心理干预、法律维权等关键领域专业人才的“智囊”作用，聚焦适龄未成年人求职需要，印制《未成年人就业指导手册》；面向轻微违法犯罪未成年人，编制普法系列替代教育PPT；初步形成表达性艺术疗法服务观影清单，丰富服务载体、提升服务质效。</w:t>
      </w:r>
      <w:r>
        <w:rPr>
          <w:rFonts w:ascii="仿宋" w:eastAsia="仿宋" w:hAnsi="仿宋" w:cs="仿宋"/>
          <w:u w:color="auto"/>
        </w:rPr>
        <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在织密未成年人全域化联动保护网络上求突破。依托“1+10牵手护航工作室”，以系统性思维整合资源、优化流程，推动全市未保工作提质增效。一是织密线索响应网。以“33333958”未保专线为核心，建立“市级评估派单—区县入户干预”的上下联动机制，形成“线索收集—快速评估—精准派单—干预处置—成效监督”的完整闭环。全年累计通话量224个，向各区县派发高风险处置案件16个，所有派发个案均实现100%有序介入、妥善处置。二是搭建技术支撑台。通过动态优化专家智库、推行“线上+线下”双轨服务、开展下沉式培训指导，对疑难个案进行会商，充分发挥市级机构技术枢纽作用，为一线社工提供专业支持，精准破解区县工作难点。全年共开展个案会商3次，下沉指导4次。三是打造宣传联动链。联合街道关爱之家、学校、社区等多方力量，推行“预约送课”服务模式，打造“四季课堂+主题宣讲+亲子活动”的宣传服务矩阵，全年累计活动12场，参与人数近2000人。聚焦青少年务工群体、儿童家长等重点人群，分别开展“青春成长护航站”“亲子关系赋能站”公益宣传活动共计13场，为适龄务工青少年提供求职引导、自我保护、城市融入等预防性、发展性服务，向儿童家长宣传未保法律法规、科学家庭教育理念、儿童权益保障等内容，从源头筑牢家庭保护防线，降低儿童权益受侵害风险，助力营造全社会关心关爱未成年人的浓厚氛围。</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苏州市救助管理站</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苏州市救助管理站</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4,267.45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70.77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3,663.50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543.70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70.74</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4,338.23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4,277.94</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126.13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186.42</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4,464.36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4,464.36</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4,338.23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4,267.45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70.77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3,722.25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3,722.25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民政管理事务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1,830.80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1,830.80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1,830.80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1,830.80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233.44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233.44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10.23</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10.23</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174.12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174.12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49.09</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49.09</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11.25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11.25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临时救助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2082002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流浪乞讨人员救助支出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1,646.76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545.21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545.21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545.21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545.21</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184.32</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184.32</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132.94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132.94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227.95</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227.95</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2299999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70.77</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4,277.94</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2,567.80</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1,710.14</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3,663.50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2,024.10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民政管理事务</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1,781.68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1,781.68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1,781.68</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1,781.68</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231.17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231.17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10.23</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10.23</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172.57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172.57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48.37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48.37</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11.25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11.25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11.25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临时救助</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2082002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流浪乞讨人员救助支出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1,639.40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543.70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543.70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543.70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543.70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182.81</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182.81</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132.94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132.94</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227.95</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227.95</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2299999</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70.74</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4,267.45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3,663.50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3,663.50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543.70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543.70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4,267.45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4,207.20</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4,207.20</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126.13</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186.38</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186.38</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126.13</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4,393.58</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4,393.58</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4,393.58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4,207.20</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2,567.80</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1,639.40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3,663.50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2,024.10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1,639.40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民政管理事务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1,781.68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1,781.68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1,781.68</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1,781.68</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231.17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231.17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10.23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10.23</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172.57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172.57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48.37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48.37</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11.25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11.25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11.25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临时救助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1,639.40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1,639.40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2082002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流浪乞讨人员救助支出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1,639.40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1,639.40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543.70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543.70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543.70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543.70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182.81</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182.81</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132.94</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132.94</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2210203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xml:space="preserve">    购房补贴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227.95</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227.95</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2,567.80</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2,342.64</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225.17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2,196.52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2,196.52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162.33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162.33</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505.92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505.92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328.72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328.72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172.57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172.57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48.37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48.37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64.46</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64.46</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2.22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1.52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182.81</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182.81</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727.60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727.60</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224.50</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224.50</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28.33</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28.33</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1.85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1.85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0.12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7.52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7.52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26.25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26.25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0.74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0.74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12.27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12.27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34.79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34.79</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80.08</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24.62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24.62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7.94</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7.94</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146.12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146.12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121.57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121.57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11.25</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11.25</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1.42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1.42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10.49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10.49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1.38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1.38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0.67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0.67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0.67</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4,207.20</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2,567.80</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1,639.40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3,663.50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2,024.10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1,639.40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民政管理事务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1,781.68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1,781.68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1,781.68</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1,781.68</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231.17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231.17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10.23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10.23</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172.57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172.57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48.37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48.37</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11.25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11.25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11.25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临时救助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1,639.40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1,639.40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2082002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流浪乞讨人员救助支出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1,639.40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1,639.40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543.70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543.70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543.70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543.70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182.81</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182.81</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132.94</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132.94</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2210203</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xml:space="preserve">    购房补贴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227.95</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227.95</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2,567.80</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2,342.64</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225.17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2,196.52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2,196.52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162.33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162.33</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505.92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505.92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328.72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328.72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172.57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172.57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48.37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48.37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64.46</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64.46</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2.22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1.52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182.81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182.81</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727.60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727.60</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224.50</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224.50</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28.33</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28.33</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1.85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1.85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0.12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7.52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7.52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26.25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26.25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0.74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0.74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12.27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12.27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34.79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34.79</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80.08</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24.62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24.62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7.94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7.94</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146.12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146.12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121.57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121.57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11.25</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11.25</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1.42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1.42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10.49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10.49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1.38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1.38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0.67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0.67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0.67</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4.00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4.00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6.40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0.74</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0.74</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6.10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4</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6</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57</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184</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225.17</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224.50</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28.33</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1.85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0.12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7.52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26.25</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0.74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12.27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34.79</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80.08</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24.62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7.94</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0.67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0.67</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苏州市救助管理站</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355.74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355.74</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355.51</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355.51</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本表金额单位转换时可能存在尾数误差</w:t>
      </w:r>
      <w:r>
        <w:rPr>
          <w:rFonts w:hint="eastAsia" w:ascii="仿宋" w:hAnsi="仿宋" w:eastAsia="仿宋" w:cs="仿宋"/>
        </w:rPr>
        <w:t>。</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2025年度收入、支出决算总计4,464.36万元。与上年相比，收、支总计各减少633.52万元，减少12.43%。其中：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（一）收入决算总计4,464.36万元。包括：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1.本年收入决算合计4,338.23万元。与上年相比，减少670.05万元，减少13.38%，变动原因：2025年单位原址拆除重建项目预算减少，专项补助资金项目收入也减少。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3.年初结转和结余126.13万元。与上年相比，增加36.53万元，增长40.77%，变动原因：2024年年末专项补助资金结转结余增加。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（二）支出决算总计4,464.36万元。包括：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1.本年支出决算合计4,277.94万元。与上年相比，减少659.31万元，减少13.35%，变动原因：2025年单位原址拆除重建项目支出减少，专项补助资金项目支出也减少。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186.42万元。结转和结余事项：流浪乞讨救助专项补助资金项目结余及部分人员经费结余。与上年相比，增加25.79万元，增长16.06%，变动原因：流浪乞讨救助专项补助资金项目结余及部分人员经费结余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4,338.23万元，其中：财政拨款收入4,267.45万元，占98.37%；上级补助收入0万元，占0%；财政专户管理教育收费0万元，占0%；事业收入（不含专户管理教育收费）0万元，占0%；经营收入0万元，占0%；附属单位上缴收入0万元，占0%；其他收入70.77万元，占1.63%。</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2025年度本年支出决算合计4,277.94万元，其中：基本支出2,567.8万元，占60.02%；项目支出1,710.14万元，占39.98%；上缴上级支出0万元，占0%；经营支出0万元，占0%；对附属单位补助支出0万元，占0%。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5" name="Drawing 15" descr="Generated"/>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true"/>
                    </pic:cNvPicPr>
                  </pic:nvPicPr>
                  <pic:blipFill>
                    <a:blip r:embed="rId22"/>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2025年度财政拨款收入、支出决算总计4,393.58万元。与上年相比，收、支总计各减少563.37万元，减少11.37%，变动原因：2025年单位原址拆除重建项目收支减少。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2025年度财政拨款支出决算4,207.2万元，占本年支出合计的98.35%。与2025年度财政拨款支出年初预算2,676.32万元相比，完成年初预算的157.2%。其中：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（一）社会保障和就业支出（类）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1.民政管理事务（款）行政运行（项）。年初预算1,660.69万元，支出决算1,781.68万元，完成年初预算的107.29%。决算数与年初预算数的差异原因：年中追加人员经费。</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行政事业单位养老支出（款）行政单位离退休（项）。年初预算0万元，支出决算10.23万元，（年初预算数为0万元，无法计算完成比率）决算数与年初预算数的差异原因：年中增加一次性退休补贴、退休干部补贴等退休人员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3.行政事业单位养老支出（款）机关事业单位基本养老保险缴费支出（项）。年初预算172.7万元，支出决算172.57万元，完成年初预算的99.92%。决算数与年初预算数的差异原因：年度缴费基数调整。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4.行政事业单位养老支出（款）机关事业单位职业年金缴费支出（项）。年初预算47.52万元，支出决算48.37万元，完成年初预算的101.79%。决算数与年初预算数的差异原因：年中有新录用员工，支出较年初预算增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5.抚恤（款）死亡抚恤（项）。年初预算0万元，支出决算11.25万元，（年初预算数为0万元，无法计算完成比率）决算数与年初预算数的差异原因：年中有2名退休职工去世。</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6.临时救助（款）流浪乞讨人员救助支出（项）。年初预算275.9万元，支出决算1,639.4万元，完成年初预算的594.2%。决算数与年初预算数的差异原因：年中收到上级补助资金拨款。</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（二）住房保障支出（类）</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1.住房改革支出（款）住房公积金（项）。年初预算170.96万元，支出决算182.81万元，完成年初预算的106.93%。决算数与年初预算数的差异原因：年度缴费基数调整，年中预算追加。</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住房改革支出（款）提租补贴（项）。年初预算110.66万元，支出决算132.94万元，完成年初预算的120.13%。决算数与年初预算数的差异原因：年初提租补贴预算不包含在职的提租补贴，退休提租补贴调整，年中预算追加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3.住房改革支出（款）购房补贴（项）。年初预算237.89万元，支出决算227.95万元，完成年初预算的95.82%。决算数与年初预算数的差异原因：年初购房补贴预算包含购房补贴和在职的提租补贴，年中购房补贴调整。</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2025年度财政拨款基本支出决算2,567.8万元，其中：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（一）人员经费2,342.64万元。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退休费、抚恤金、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（二）公用经费225.17万元。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主要包括：办公费、印刷费、手续费、邮电费、差旅费、公务接待费、专用材料费、工会经费、福利费、其他交通费用、其他商品和服务支出、办公设备购置。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2025年度一般公共预算财政拨款支出决算4,207.2万元。与上年相比，减少589.21万元，减少12.28%，变动原因：2025年单位原址拆除重建项目支出减少。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2025年度一般公共预算财政拨款基本支出决算2,567.8万元，其中：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（一）人员经费2,342.64万元。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基本工资、津贴补贴、奖金、机关事业单位基本养老保险缴费、职业年金缴费、职工基本医疗保险缴费、公务员医疗补助缴费、其他社会保障缴费、住房公积金、其他工资福利支出、退休费、抚恤金、生活补助、医疗费补助、奖励金、其他对个人和家庭的补助。</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（二）公用经费225.17万元。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主要包括：办公费、印刷费、手续费、邮电费、差旅费、公务接待费、专用材料费、工会经费、福利费、其他交通费用、其他商品和服务支出、办公设备购置。</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0.74万元（其中：一般公共预算支出0.74万元；政府性基金预算支出0万元；国有资本经营预算支出0万元）。与上年相比，减少1.3万元，变动原因：厉行节约，减少接待支出。其中，因公出国（境）费支出0万元，占“三公”经费的0%；公务用车购置及运行维护费支出0万元，占“三公”经费的0%；公务接待费支出0.74万元，占“三公”经费的100%。2025年度财政拨款“三公”经费支出预算4万元（其中：一般公共预算支出4万元；政府性基金预算支出0万元；国有资本经营预算支出0万元）。决算数与预算数的差异原因：厉行节约，公务接待支出减少。</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4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4万元（其中：一般公共预算支出4万元；政府性基金预算支出0万元；国有资本经营预算支出0万元），支出决算0.74万元（其中：一般公共预算支出0.74万元；政府性基金预算支出0万元；国有资本经营预算支出0万元），完成调整后预算的18.5%，决算数与预算数的差异原因：厉行节约，减少接待支出。其中：国内公务接待支出0.74万元，接待6批次，57人次，开支内容：接待公务来站人员；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6.4万元（其中：一般公共预算支出6.4万元；政府性基金预算支出0万元；国有资本经营预算支出0万元），支出决算6.1万元（其中：一般公共预算支出6.1万元；政府性基金预算支出0万元；国有资本经营预算支出0万元），完成调整后预算的95.31%，决算数与预算数的差异原因：参加培训人员减少。2025年度全年组织培训1个，组织培训184人次，开支内容：单位救助业务和消防安全培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225.17万元（其中：一般公共预算支出225.17万元；政府性基金预算支出0万元；国有资本经营预算支出0万元）。与上年相比，增加64.21万元，增长39.89%，变动原因：按预算要求，本年度将伙食经费、党团活动经费、体检费列入机关运行经费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355.74万元，其中：政府采购货物支出0万元、政府采购工程支出0万元、政府采购服务支出355.74万元。政府采购授予中小企业合同金额355.51万元，占政府采购支出总额的99.94%，其中：授予小微企业合同金额355.51万元，占授予中小企业合同金额的100%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4辆，其中：副部(省)级及以上领导用车0辆、主要负责人用车0辆、机要通信用车0辆、应急保障用车0辆、执法执勤用车0辆、特种专业技术用车0辆、离退休干部用车0辆、其他用车4辆；单价100万元（含）以上的设备2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本单位共对上年度已实施完成的6个项目开展了绩效自评价，涉及财政性资金合计270万元；本单位共开展1项单位整体支出绩效自评价，涉及财政性资金合计2,890.7万元。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十九、社会保障和就业支出(类)民政管理事务(款)行政运行(项)</w:t>
      </w:r>
      <w:r>
        <w:rPr>
          <w:b w:val="on"/>
          <w:rFonts w:ascii="仿宋" w:eastAsia="仿宋" w:hAnsi="仿宋" w:cs="仿宋"/>
          <w:u w:color="auto"/>
        </w:rPr>
        <w:t>：</w:t>
      </w:r>
      <w:r>
        <w:rPr>
          <w:rFonts w:hint="eastAsia" w:ascii="仿宋" w:hAnsi="仿宋" w:eastAsia="仿宋" w:cs="仿宋"/>
        </w:rPr>
        <w:t>反映行政单位（包括实行公务员管理的事业单位）的基本支出。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二十、社会保障和就业支出(类)行政事业单位养老支出(款)行政单位离退休(项)</w:t>
      </w:r>
      <w:r>
        <w:rPr>
          <w:b w:val="on"/>
          <w:rFonts w:ascii="仿宋" w:eastAsia="仿宋" w:hAnsi="仿宋" w:cs="仿宋"/>
          <w:u w:color="auto"/>
        </w:rPr>
        <w:t>：</w:t>
      </w:r>
      <w:r>
        <w:rPr>
          <w:rFonts w:hint="eastAsia" w:ascii="仿宋" w:hAnsi="仿宋" w:eastAsia="仿宋" w:cs="仿宋"/>
        </w:rPr>
        <w:t>反映行政单位（包括实行公务员管理的事业单位）开支的离退休经费。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二十一、社会保障和就业支出(类)行政事业单位养老支出(款)机关事业单位基本养老保险缴费支出(项)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二十二、社会保障和就业支出(类)行政事业单位养老支出(款)机关事业单位职业年金缴费支出(项)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二十三、社会保障和就业支出(类)抚恤(款)死亡抚恤(项)</w:t>
      </w:r>
      <w:r>
        <w:rPr>
          <w:b w:val="on"/>
          <w:rFonts w:ascii="仿宋" w:eastAsia="仿宋" w:hAnsi="仿宋" w:cs="仿宋"/>
          <w:u w:color="auto"/>
        </w:rPr>
        <w:t>：</w:t>
      </w:r>
      <w:r>
        <w:rPr>
          <w:rFonts w:hint="eastAsia" w:ascii="仿宋" w:hAnsi="仿宋" w:eastAsia="仿宋" w:cs="仿宋"/>
        </w:rPr>
        <w:t>反映按规定用于烈士和牺牲、病故人员家属的一次性和定期抚恤金、丧葬补助费以及烈士褒扬金。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二十四、社会保障和就业支出(类)临时救助(款)流浪乞讨人员救助支出(项)</w:t>
      </w:r>
      <w:r>
        <w:rPr>
          <w:b w:val="on"/>
          <w:rFonts w:ascii="仿宋" w:eastAsia="仿宋" w:hAnsi="仿宋" w:cs="仿宋"/>
          <w:u w:color="auto"/>
        </w:rPr>
        <w:t>：</w:t>
      </w:r>
      <w:r>
        <w:rPr>
          <w:rFonts w:hint="eastAsia" w:ascii="仿宋" w:hAnsi="仿宋" w:eastAsia="仿宋" w:cs="仿宋"/>
        </w:rPr>
        <w:t>反映用于生活无着的流浪乞讨人员的救助支出和救助管理机构的运转支出。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二十五、住房保障支出(类)住房改革支出(款)住房公积金(项)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二十六、住房保障支出(类)住房改革支出(款)提租补贴(项)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二十七、住房保障支出(类)住房改革支出(款)购房补贴(项)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二十八、其他支出(类)其他支出(款)其他支出(项)</w:t>
      </w:r>
      <w:r>
        <w:rPr>
          <w:b w:val="on"/>
          <w:rFonts w:ascii="仿宋" w:eastAsia="仿宋" w:hAnsi="仿宋" w:cs="仿宋"/>
          <w:u w:color="auto"/>
        </w:rPr>
        <w:t>：</w:t>
      </w:r>
      <w:r>
        <w:rPr>
          <w:rFonts w:hint="eastAsia" w:ascii="仿宋" w:hAnsi="仿宋" w:eastAsia="仿宋" w:cs="仿宋"/>
        </w:rPr>
        <w:t>反映除上述项目以外其他不能划分到具体功能科目中的支出项目。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苏州市救助管理站</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22"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