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2025年度苏州市民政局单位决算公开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苏州市民政局负责贯彻落实党中央关于民政工作的方针政策以及省委、市委决策部署，把坚持和加强党对民政工作的领导落实到履行职责过程中。主要职责是：</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（一）拟订全市民政事业发展政策和规划，起草有关地方性法规、规章草案和标准，并组织实施和监督检查。</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（二）拟订全市社会团体、基金会、社会服务机构等社会组织登记和监督管理政策制度并组织实施。依法对社会组织进行登记管理和执法监督，指导社会组织党建工作。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（三）拟订全市相关社会救助政策、标准，统筹社会救助体系建设，负责城乡居民最低生活保障、特困人员救助供养、临时救助、生活无着流浪乞讨人员救助工作。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（四）拟订全市申请救助家庭经济状况核对工作规范、管理制度，组织指导全市申请救助家庭经济状况核对工作，统筹核对体系建设，负责核对平台管理。</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拟订全市行政区划、行政区域界线管理和地名管理政策、标准，按照管理权限承担行政区划设立、命名、变更和政府驻地迁移等审核工作，组织指导乡镇级行政区域界线的勘定工作和市级行政区域界线的管理工作，负责地名管理工作，负责跨县级市（区）界自然地理实体命名、更名的审核工作，组织开展地名公共服务。</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（六）拟订全市婚姻管理政策并组织实施，推进婚俗改革。</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（七）拟订全市殡葬管理政策、服务规范并组织实施，推进殡葬改革。</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（八）拟订全市残疾人权益保护政策，统筹推进残疾人福利制度建设和康复辅具器具产业发展。</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（九）承担市老龄工作委员会的具体工作。组织拟订并协调落实积极应对人口老龄化的政策措施，指导协调老年人权益保障工作。组织拟订老年人社会参与政策并组织实施。</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（十）统筹推进、督促指导、监督管理全市养老服务工作，拟订养老服务体系建设规划、政策、标准并组织实施，承担老年人福利和特殊困难老年人救助工作，推动居家社区机构养老服务协调发展。</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（十一）拟订全市儿童福利、孤弃儿童保障、儿童收养、儿童救助保护政策、标准，健全农村留守儿童关爱服务体系和困境儿童保障制度。指导全市儿童福利机构建设和管理。</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（十二）拟订全市促进慈善事业发展政策，指导社会捐助工作，负责全市福利彩票管理工作。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（十三）完成市委、市政府交办的其他任务。</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办公室、政策法规处（行政审批处）、社会组织管理局（社会组织执法监督局）、社会救助处、信息化处、区划地名处、社会事务处、老龄工作处、养老服务处、儿童福利处、慈善事业促进处、规划财务处（审计处）、人事教育处（离退休干部处）、机关党委。本单位无下属单位。</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是党建引领更加坚强。始终把党的政治建设摆在首位，坚持融入大局抓党建、抓好党建促全局。学习教育深入扎实。深入贯彻中央八项规定精神学习教育，坚决纠治违规吃喝等问题，推动学习教育取得实实在在效果。主动汇总学习习近平总书记关于民政工作相关论述，深入学习党的二十届四中全会精神，广泛宣讲进基层、进院校。组织建设坚强有力。实施市局领导班子成员挂钩联系基层板块机制，开展“换位跑一次”73次，形成社会组织登记工作指引、福利彩票销售网点规范实施细则等9项制度性成果。组织开展“社情民意开门听”6次、“推动发展开心谈”9次，完善以“共享清凉空间”、养老机构促消费开放体验式入住等“民政服务开放行”平台建设，深化机关社区“双结对”，开展“在职党员进社区”志愿服务，持续擦亮“幸福苏州365·暖心先锋”志愿服务品牌。整治整改成效明显。围绕殡葬、养老、社会救助、公益慈善、服务外包等领域，分别制定整改方案，成立工作专班，定期开展调度，推动各项整治落地落实。制定执行市社会殡仪服务活动管理办法、太平间服务管理规范、养老机构预收费资金管理规则等政策，完善市局机关公务接待管理、财务管理等内控制度。殡葬减降优、养老服务机构水电气优惠政策</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是服务保障更加温暖。牢固树立以人民为中心的发展思想，倾心尽力做好各项服务保障工作，努力让群众可感可及可知。悉心帮扶困难群众。首次明确低保标准和上年度人均消费支出增幅同步增长机制，全市低保标准提高至1208元/月，居全省第一。全年共开展慈善项目1639个，募集款物7.12亿元、支出6.15亿元，惠及困难群体250.3万人次。圆满完成年度春节慰问活动，向81家养老服务和护理机构、32.5万户困难群众、百岁老人及特殊关爱对象发放春节慰问金3.3亿元。出台困难群众综合帮扶若干措施，成立“困难群众综合帮扶基金”。“救助通”综合帮扶应用常态化推送提醒信息1.9万条，累计服务12万余人次。开展国家级服务类社会救助试点，全年累计实施服务类救助项目257个，投入资金4627万元，惠及困难群众2.8万人次。完成“1+10+100”慈善救助服务体系建设，提供“救助+就业”等延伸服务287例，相关做法被央视、民政部、人社部等宣传推介。吴江区“救助驿站”创新案例获评全国社会救助领域创新实践案例，并亮相民政部全国宣传交流活动。张家港市、相城区入选全国社会救助创新实践揭榜挂帅单位，并获评全省优秀案例。市民政综合服务中心打造“365幸福空间”，聚焦困难群众、新就业群体等开展便民服务市集、腊八送暖、“康复融合迎新春”等惠民活动。精心服务老年群体。加快构建“15分钟养老服务圈”，完成全国居家社区“双提升”行动，家庭养老床位建设完成率148.8%，居家养老上门服务累计完成18.76万人次。完成全国基本养老服务综合平台试点，启动“苏式颐养”养老服务平台新一期建设。年内改造提升助餐点50个，建成基层适老生活体验中心10家、智慧养老院20家。推进8000余户焕新适老化改造工作，我市适老化体验中心项目获中央电视台《新闻联播》报道。免费为3467户家庭安装“一键呼”智能设备，实现全市特殊困难老年人群全覆盖。“幸福颐养”养老服务提升工程高分获评2025年“苏州十大民心工程”。组织开展2025年“敬老月”、十七届老年文化周等活动，苏州7个集体、10名个人被评为全国“敬老文明号”、全国“敬老爱老助老模范人物”。承办2025中国银龄合唱大会，举办长三角国际健康产业交易会、中外养老机构院长培训交流等活动，举办积极应对人口老龄化国家战略专题研修班，推荐14个社区申报全国示范性老年友好型社区，开展5.74万人次老年人运用智能技术培训。张家港市互助养老项目入选全国老年友好型社会建设典型案例。工业园区首创适老化体验产品展示与产业孵化结合模式，“代际融合”做法获《人民日报》报道。高新区创新打造“一老一小一健康”医养融合综合体，实施2万人次老年认知障碍筛防项目。市养老中心推进完成全国居家社区服务提升试点行动，获《中国社会报》头版头条专题报道。用心守护困境儿童。制定儿童福利机构“开门办院”、流动儿童关爱保护相关政策，全市9304名困境儿童全部纳入“一人一档”管理。为所有社会散居孤儿、事实无人抚养儿童完成791个微心愿，为所有符合条件的低收入家庭青少年提供非义务教育支持。完成31个未成年人保护工作站改造提升，推进儿童福利机构“开门办院”，组建儿童福利服务联合体，为115名社会残疾儿童提供康复、特教等专业服务。市救助管理站依托“1+10牵手护航工作室”，助力形成“上下联动、资源整合、专业支撑、闭环运行”的未保工作格局。格外关爱残疾人群。推进残疾人两项补贴精准管理，为2331名精神障碍患者提供规范社区康复服务，推动“精康融合行动”高质量发展。全市共有精神康复驿站108家，其中省级建设示范点93家，精神障碍社区康复服务实现100%覆盖。昆山市精神障碍社区康复服务“五位一体”经验做法，得到民政部李常官副部长高度肯定。</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是民政事务更加扎实。坚持跳出民政看民政，在更高坐标系、更强参照系中推动专项工作融合发展、提档升级，持续提升民政工作影响力、美誉度。社会组织有活力。承办2025长三角民政座谈会，民政部胡海峰副部长全程参加，并对社会组织、婚姻登记等工作给予高度肯定。开展社会组织领域“两个覆盖”集中攻坚工作，全市登记注册社会组织7262家，其中获评5A等级组织95家，等级组织覆盖率68.59%，均居全省第一。紧扣“1030”产业体系和“1840”服务业体系，精准培育低空经济、数字经济、科技金融等新兴领域社会组织，强化产业协同与区域协作。启动首届社会组织产品创新大赛，征集产品120个。引导社会组织参与乡村振兴，累计开展帮扶项目260个。开展“政社企校—连心桥”供需对接活动，每季度举办“秘书长下午茶”活动。打造“苏心救”工作品牌，参与社会急救体系建设。开展“同心同城同享清凉”系列活动，打造避暑载体960个，发放消暑物资130.16万元，服务新就业群体及有需要的群众11.23万人次，后续升级为“四季驿站”全年服务品牌。市社会组织总会获评2025年度“全国先进社会组织”。地名文化有底蕴。深化“乡村著名行动”，新增命名道路581条、采集信息3216条，显著提升了农村地区寄递物流、农村电商便利度。结合城市更新，在姑苏区32号街坊打造区划地名历史文化展示街区。吴中区打造光福冲山特色地名IP，促进“观鸥”消费，获央视、《新华日报》头版关注报道。殡仪服务有创新。大力倡导“移风易俗、厚养礼葬”文明新风尚，完成8个公益性骨灰安放（葬）设施建设。组织开展3次海葬树葬共祭活动。清明期间，全市平稳有序接待群众633.58万人次，安葬（放）骨灰数8118例。修订完善免除殡葬基本服务费用实施办法，全年共减免3.79万例、4747.8万元，均居全省首位。优化苏城数字殡葬公共服务平台建设，完善“96444”殡葬服务专线功能，打造“白事无忧”智慧派单系统，得到省纪委、省厅高度肯定。市殡仪馆新增生命文化空间，守灵服务（殡仪馆）。</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是人文经济更加亮眼。坚持面向未来趋势，紧跟苏州经济社会发展大局，找准民政定位、挖掘动能潜能，推动民政事业产业协同发展。银发经济稳步开局。牢牢把握银发经济元年的先发优势，构建银发经济高质量发展“十个一”工作模式，召开银发经济高质量发展推进会，签约18个重点项目、总投资额55亿元。梳理10条相关产业链，覆盖企业近20万家，重点企业1万余家，打造康养机器人企业队伍“银发经济汪汪队”，近千家企业自主加入，细分12个赛道，已归集银发智能科技产品百余种。省级培育银发经济特色园区3个，推动9个银发科技实验室发展，7家企业入选国家智能养老服务机器人结对攻关与场景应用试点。举办银发经济创新创业大赛，打造“银龄18”服务品牌。举办5季“苏式孝亲”银发经济促消费活动，拉动消费超1.5亿元。市社会福利总院设立全市银发科技与人文关怀示范中心，吸引智能制造企业产品进驻服务，开放场景10余个，首批进驻企业20余家，链接产品近百个。太仓市打造6条“游学康养”实景课程，率先编制《银发经济产业目录》，建成30个银发“零工驿站”，入选全省老龄工作十佳案例。甜蜜经济火热升温。新增姑苏区十全街、常熟市曾赵园、相城区御窑金砖博物馆、太仓市玫瑰庄园等4处特色结婚登记点。全市现有婚姻登记处（含特色结婚登记点）24处、特色颁证点38个，辐射带动“婚登＋婚旅＋婚庆”甜蜜经济发展。全市共办理结婚登记6.5万对，同比增长33%，达到近十年峰值。“全国通办”以来，全市办理结婚登记对数同比增长52%，外地来苏办理对数同比增长122%，均创历史同期新高。姑苏区创新推出“十全街甜蜜商户联盟”，让新人享受“姑苏囍事”消费套券、缘定姑苏相思主题路线等专属礼遇。福彩营销焕新升级。打造苏州博物馆主题店、百花书局福彩点，“苏州之眼”福彩主题“太空舱”等特色场景，探索“非遗+福彩”“文旅+福彩”等新模式，与全家便利店跨界合作，打造“福彩+”场景化营销样板，开发“福彩盲盒”等产品，拓展销售新空间。全年销售福利彩票37.9亿元，连续19年位居全国地级市首位。市福彩中心推出小包装票试点项目，将传统文化元素融入即开票包装，取得良好市场反响与销售实绩。公益慈善氛围浓厚。全年共募集慈善款物8.88亿元，支出8.05亿元，惠及困难群众250万人次。坚持以“苏家善”社区慈善品牌为引领，大力推进社区慈善建设，实现社区慈善基金全覆盖，引导慈善资金超6.8亿元，解决群众身边“小急难”。全市共认定“慈善实体”100个、“慈善空间”974个。苏州2家企业、1名个人获评第十三届“中华慈善奖”；22家企业、组织、个人获评第七届“江苏慈善奖”。指导开展“新年慈善晚会”“慈善文化进校园”等活动，引导社会各界关心慈善、支持慈善、参与慈善。</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是基层基础更加稳固。坚持改革创新、夯基垒石与安全保障相结合，推动常态化、规范性、基础性工作创新落实，为民政事业可持续高质量发展蓄势赋能。法治建设规范推进。全年出台行政规范性文件2份、开展部门重大行政决策1件，清理与上位法不符、与当前经济社会发展要求不相适的规范性文件6份，持续优化民政法规制度体系框架。开展民政服务机构“双随机”检查210次，实施行政处罚26件次，构建完善“进一次门、查多项事、一次到位”行政监管体系。持续加强局系统行政执法队伍建设，年内新增行政执法证5人，局系统持证人数达89人。张家港市与中福协合作开展“农村养老服务标准化试点工作”，推动《农村养老服务指南》团体标准立项。数智发展持续深化。完成民政数据资源中心建设，编制“人工智能+民政365”三年行动计划，推动构建民政智能体。推进“智慧民政”一体化建设，开展“指尖上的形式主义”整治，编制全市民政业务应用系统替代实施改造、非涉密信息系统清理整合2个三年计划。开展民政领域“一表通”智能填报平台应用试点，精简入库报表89张。信息宣传推介有力。深化与中央、省、市主流媒体合作开展专题宣传，两会看民政、地名与节气、苏社向“新”力等宣传成效显著。参加民政部科技养老新闻发布会、《苏城议事厅》2期和专题新闻发布会1期。全年向市委、市政府报送信息500余篇，在主流媒体刊发报道千余篇，发布推文近900条，制作发布每日一图200余张，持续增强政策解读与民政工作影响力。队伍建设多措并举。牵头组织实施年轻干部专业能力提升实训计划，举办新上岗人员培训，遴选33名“90后”组建4个实训专班，发布《民政青年学与思》12期。推动干部在一线练兵中提升履职能力。安全态势稳固良好。全力推动民政领域“六化”建设，常态开展养老服务、儿童福利、殡仪服务等民政服务机构警示教育、应急演练、安全检查，筑牢机构安全防线。紧盯困难群众、特殊群体等重点对象，抓实社会面安全兜底保障，守牢民政领域公众道德和社会心理底线。加强信息发布、网络舆情等监测处置，定期组织网络和数据安全宣教培训、应急演练，积极掌握意识形态工作主动权。</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苏州市民政局</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苏州市民政局</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3,986.10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87.24</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631.05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153.85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3,052.82</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2.13</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854.03</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745.39</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4,771.00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4,741.62</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0.40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29.78</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4,771.39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4,771.39</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4,771.00</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4,617.15</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153.85</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87.24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87.24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20.44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20.44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2010302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3.97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3.97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16.47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16.47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发展与改革事务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40.48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2010402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40.48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其他共产党事务支出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2013602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社会工作事务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2013904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专项业务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3,082.20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3,042.70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39.51</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民政管理事务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2,648.38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2,608.87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39.51</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1,641.26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1,641.05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0.21</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2080207</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行政区划和地名管理</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25.81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25.81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其他民政管理事务支出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981.31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942.01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39.30</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376.99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376.99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134.40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134.40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166.72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166.72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75.87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75.87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40.26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40.26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死亡抚恤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40.26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40.26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社会福利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养老服务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临时救助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11.58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11.58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临时救助支出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11.58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11.58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854.03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854.03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854.03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854.03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196.52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196.52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421.14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421.14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236.37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236.37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745.39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631.05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114.34</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彩票公益金安排的支出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631.05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631.05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631.05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631.05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114.34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114.34</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114.34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114.34</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4,741.62</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2,883.16</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1,858.46</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87.24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87.24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政府办公厅（室）及相关机构事务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20.44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20.44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2010302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3.97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3.97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2010399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其他政府办公厅（室）及相关机构事务支出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16.47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16.47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发展与改革事务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40.48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40.48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2010402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40.48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40.48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其他共产党事务支出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2013602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社会工作事务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2013904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专项业务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3,052.82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2,029.12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1,023.70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民政管理事务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2,619.38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1,612.26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1,007.12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1,612.26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1,612.26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2080207</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行政区划和地名管理</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25.81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25.81</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其他民政管理事务支出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981.31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981.31</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376.61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376.61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134.40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134.40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166.41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166.41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75.79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75.79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40.26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40.26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死亡抚恤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40.26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40.26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社会福利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养老服务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临时救助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11.58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11.58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2082001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临时救助支出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11.58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11.58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854.03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854.03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854.03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854.03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196.52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196.52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421.14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421.14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236.37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236.37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745.39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745.39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彩票公益金安排的支出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631.05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631.05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用于社会福利的彩票公益金支出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631.05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631.05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114.34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114.34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114.34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114.34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3,986.10</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87.24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87.24</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631.05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3,013.52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3,013.52</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2.13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2.13</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854.03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854.03</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631.05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631.05</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4,617.15</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4,587.97</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3,956.93</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631.05</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0.40</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29.57</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29.57</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0.40</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4,617.54</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4,617.54</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3,986.49</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631.05</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4,587.97</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2,883.16</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1,704.82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87.24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87.24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20.44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20.44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2010302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3.97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3.97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16.47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16.47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发展与改革事务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40.48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2010402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40.48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其他共产党事务支出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2013602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社会工作事务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2013904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专项业务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3,013.52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2,029.12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984.40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民政管理事务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2,580.08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1,612.26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967.82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1,612.26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1,612.26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2080207</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行政区划和地名管理</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25.81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25.81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其他民政管理事务支出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942.01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942.01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376.61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376.61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134.40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134.40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166.41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166.41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75.79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75.79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40.26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40.26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死亡抚恤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40.26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40.26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社会福利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养老服务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临时救助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11.58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11.58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临时救助支出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11.58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11.58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2.13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2.13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2.13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2.13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2.13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2.13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854.03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854.03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854.03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854.03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196.52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196.52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421.14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421.14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236.37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236.37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631.05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631.05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彩票公益金安排的支出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631.05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631.05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631.05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631.05</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2,883.16</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2,634.87</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248.28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2,136.04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2,136.04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269.41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269.41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739.00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739.00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449.48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449.48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166.41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166.41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75.79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75.79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52.72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52.72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2.76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2.76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33.50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33.50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196.52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196.52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150.46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150.46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247.80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247.80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14.62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14.62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5.04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5.04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0.09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0.09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3.85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3.85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4.96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4.96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34.90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34.90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1.42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2.40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2.40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9.08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9.08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0.80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0.80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31.56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31.56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86.91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86.91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42.80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42.80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9.37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9.37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498.83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498.83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40.10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40.10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405.07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405.07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40.26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40.26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9.40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9.40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0.08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0.08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3.94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3.94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0.48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0.48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0.48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0.48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3,956.93</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2,883.16</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1,073.77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87.24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87.24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20.44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20.44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2010302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3.97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3.97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16.47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16.47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发展与改革事务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40.48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40.48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2010402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40.48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40.48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其他共产党事务支出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2013602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社会工作事务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2013904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专项业务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3,013.52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2,029.12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984.40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民政管理事务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2,580.08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1,612.26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967.82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1,612.26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1,612.26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2080207</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行政区划和地名管理</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25.81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25.81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其他民政管理事务支出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942.01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942.01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376.61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376.61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134.40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134.40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166.41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166.41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75.79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75.79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40.26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40.26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死亡抚恤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40.26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40.26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社会福利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养老服务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临时救助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11.58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11.58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临时救助支出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11.58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11.58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2.13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2.13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2.13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854.03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854.03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854.03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854.03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196.52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196.52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421.14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421.14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236.37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236.37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2,883.16</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2,634.87</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248.28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2,136.04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2,136.04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269.41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269.41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739.00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739.00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449.48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449.48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166.41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166.41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75.79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75.79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52.72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52.72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2.76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2.76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33.50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33.50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196.52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196.52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150.46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150.46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247.80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247.80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14.62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14.62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5.04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5.04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0.09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0.09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3.85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3.85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4.96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4.96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34.90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34.90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1.42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2.40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9.08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9.08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0.80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0.80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31.56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31.56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86.91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86.91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42.80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42.80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9.37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9.37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498.83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498.83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40.10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40.10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405.07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405.07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40.26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40.26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9.40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9.40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0.08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0.08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3.94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3.94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0.48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0.48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0.48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0.48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13.05</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3.97</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9.08</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8.44</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47.02</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13.05</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3.97</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9.08</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8.44</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47.02</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2</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2</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57</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595</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9</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493</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1,693</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631.05</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631.05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631.05</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631.05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彩票公益金安排的支出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631.05</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631.05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2296002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631.05</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631.05</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248.28</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247.80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14.62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5.04</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0.09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3.85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4.96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34.90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1.42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2.40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9.08</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0.80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31.56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86.91</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42.80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9.37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0.48</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0.48</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苏州市民政局</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6,652.16</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68.48</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6,583.68</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679.41</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679.41</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2025年度收入、支出决算总计4,771.39万元。与上年相比，收、支总计各减少1,419.95万元，减少22.93%。其中：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（一）收入决算总计4,771.39万元。包括：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1.本年收入决算合计4,771万元。与上年相比，减少1,419.93万元，减少22.94%，变动原因：“三项惠老保险”等苏州市市级福利彩票公益金资助项目预算直接下达至相关区，本单位收入减少。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3.年初结转和结余0.4万元。与上年决算数相同。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（二）支出决算总计4,771.39万元。包括：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1.本年支出决算合计4,741.62万元。与上年相比，减少1,436.55万元，减少23.25%，变动原因：上年度列本单位支出的“三项惠老保险”等苏州市市级福利彩票公益金资助项目预算直接下达至相关区，不再由本单位支出。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3.年末结转和结余29.78万元。结转和结余事项：人员经费结余。与上年相比，增加16.61万元，增长126.12%，变动原因：本单位其他社会保障等资金有结余。</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4,771万元，其中：财政拨款收入4,617.15万元，占96.78%；上级补助收入0万元，占0%；财政专户管理教育收费0万元，占0%；事业收入（不含专户管理教育收费）0万元，占0%；经营收入0万元，占0%；附属单位上缴收入0万元，占0%；其他收入153.85万元，占3.22%。</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2025年度本年支出决算合计4,741.62万元，其中：基本支出2,883.16万元，占60.81%；项目支出1,858.46万元，占39.19%；上缴上级支出0万元，占0%；经营支出0万元，占0%；对附属单位补助支出0万元，占0%。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4,617.54万元。与上年相比，收、支总计各减少1,420.48万元，减少23.53%，变动原因：“三项惠老保险”等苏州市市级福利彩票公益金资助项目预算直接下达至相关区，本单位收入、支出均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2025年度财政拨款支出决算4,587.97万元，占本年支出合计的96.76%。与2025年度财政拨款支出年初预算14,563.93万元相比，完成年初预算的31.5%。其中：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（一）一般公共服务支出（类）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政府办公厅（室）及相关机构事务（款）一般行政管理事务（项）。年初预算0万元，支出决算3.97万元，（年初预算数为0万元，无法计算完成比率）决算数与年初预算数的差异原因：其他部门拨付本单位因公出国（境）费用3.97万元，由本单位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政府办公厅（室）及相关机构事务（款）其他政府办公厅（室）及相关机构事务支出（项）。年初预算0万元，支出决算16.47万元，（年初预算数为0万元，无法计算完成比率）决算数与年初预算数的差异原因：其他部门拨付本单位信息化运维项目经费16.47万元，由本单位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发展与改革事务（款）一般行政管理事务（项）。年初预算0万元，支出决算40.48万元，（年初预算数为0万元，无法计算完成比率）决算数与年初预算数的差异原因：其他部门拨付本单位编制民政“十五五”相关规划费用40.48万元，由本单位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其他共产党事务支出（款）一般行政管理事务（项）。年初预算0万元，支出决算1.32万元，（年初预算数为0万元，无法计算完成比率）决算数与年初预算数的差异原因：其他部门拨付本单位的离休干部就地疗养费，由本单位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社会工作事务（款）专项业务（项）。年初预算0万元，支出决算25万元，（年初预算数为0万元，无法计算完成比率）决算数与年初预算数的差异原因：其他部门拨付至本单位的社会工作专项工作经费，由本单位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民政管理事务（款）行政运行（项）。年初预算1,449.56万元，支出决算1,612.26万元，完成年初预算的111.22%。决算数与年初预算数的差异原因：年中提高在职职工工资发放标准和公积金、养老保险、职业年金等缴费基数，追加人员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2.民政管理事务（款）行政区划和地名管理（项）。年初预算36万元，支出决算25.81万元，完成年初预算的71.69%。决算数与年初预算数的差异原因：本单位下调《苏州市标准地名志》编纂出版服务合同首付款比例。</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民政管理事务（款）其他民政管理事务支出（项）。年初预算1,053.65万元，支出决算942.01万元，完成年初预算的89.4%。决算数与年初预算数的差异原因：经财评，压减慈社活动等专项委托业务项目采购预算，决算数较年初预算数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4.行政事业单位养老支出（款）行政单位离退休（项）。年初预算28.4万元，支出决算134.4万元，完成年初预算的473.24%。决算数与年初预算数的差异原因：年中增加离退休人员一次性退休补贴等支出。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行政事业单位养老支出（款）机关事业单位基本养老保险缴费支出（项）。年初预算160.97万元，支出决算166.41万元，完成年初预算的103.38%。决算数与年初预算数的差异原因：年中提高在职职工养老保险缴费基数，支出较年初预算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行政事业单位养老支出（款）机关事业单位职业年金缴费支出（项）。年初预算73.89万元，支出决算75.79万元，完成年初预算的102.57%。决算数与年初预算数的差异原因：年中提高在职职工职业年金缴费基数，支出较年初预算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7.抚恤（款）死亡抚恤（项）。年初预算0万元，支出决算40.26万元，（年初预算数为0万元，无法计算完成比率）决算数与年初预算数的差异原因：年中有2名退休人员死亡。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8.社会福利（款）养老服务（项）。年初预算0万元，支出决算5万元，（年初预算数为0万元，无法计算完成比率）决算数与年初预算数的差异原因：上级部门拨付本单位养老服务经费，由本单位支出经费。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9.临时救助（款）临时救助支出（项）。年初预算283.85万元，支出决算11.58万元，完成年初预算的4.08%。决算数与年初预算数的差异原因：“民政困难人员和退役人员春节慰问及市四套班子走访慰问”项目由市财政局直接划拨指标至各相关县级市（区）和单位实施，未由本单位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（三）卫生健康支出（类）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其他卫生健康支出（款）其他卫生健康支出（项）。年初预算0万元，支出决算2.13万元，（年初预算数为0万元，无法计算完成比率）决算数与年初预算数的差异原因：其他部门拨付至本单位的退休干部保健资金，由本单位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1.住房改革支出（款）住房公积金（项）。年初预算185.81万元，支出决算196.52万元，完成年初预算的105.76%。决算数与年初预算数的差异原因：年中提高在职职工住房公积金缴费基数，支出增加。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267.43万元，支出决算421.14万元，完成年初预算的157.48%。决算数与年初预算数的差异原因：因财政部门预算安排，年初在职职工提租补贴未列入“住房改革支出（款）提租补贴（项）”，实际支出较年初预算数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351万元，支出决算236.37万元，完成年初预算的67.34%。决算数与年初预算数的差异原因：因财政部门预算安排，年初在职职工提租补贴列入“住房改革支出（款）购房补贴（项）”，实际支出较年初预算数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（五）其他支出（类）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彩票公益金安排的支出（款）用于社会福利的彩票公益金支出（项）。年初预算10,673.37万元，支出决算631.05万元，完成年初预算的5.91%。决算数与年初预算数的差异原因：部分苏州市级福彩公益金资助项目经费由市财政局直接划拨指标至项目单位，未由本单位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2025年度财政拨款基本支出决算2,883.16万元，其中：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（一）人员经费2,634.87万元。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公务员医疗补助缴费、其他社会保障缴费、住房公积金、其他工资福利支出、离休费、退休费、抚恤金、生活补助、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（二）公用经费248.28万元。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主要包括：办公费、印刷费、手续费、电费、邮电费、差旅费、维修（护）费、会议费、公务接待费、委托业务费、工会经费、福利费、其他交通费用、其他商品和服务支出、办公设备购置。</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2025年度一般公共预算财政拨款支出决算3,956.93万元。与上年相比，增加65.52万元，增长1.68%，变动原因：年中提高在职职工工资发放标准和公积金、养老保险、职业年金等缴费基数。</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2025年度一般公共预算财政拨款基本支出决算2,883.16万元，其中：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（一）人员经费2,634.87万元。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公务员医疗补助缴费、其他社会保障缴费、住房公积金、其他工资福利支出、离休费、退休费、抚恤金、生活补助、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（二）公用经费248.28万元。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主要包括：办公费、印刷费、手续费、电费、邮电费、差旅费、维修（护）费、会议费、公务接待费、委托业务费、工会经费、福利费、其他交通费用、其他商品和服务支出、办公设备购置。</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13.05万元（其中：一般公共预算支出13.05万元；政府性基金预算支出0万元；国有资本经营预算支出0万元）。与上年相比，增加1.05万元，变动原因：本年度本单位有2人因公出国（境）考察，较上年度因公出国（境）支出增加。其中，因公出国（境）费支出3.97万元，占“三公”经费的30.42%；公务用车购置及运行维护费支出0万元，占“三公”经费的0%；公务接待费支出9.08万元，占“三公”经费的69.58%。2025年度财政拨款“三公”经费支出预算13.05万元（其中：一般公共预算支出13.05万元；政府性基金预算支出0万元；国有资本经营预算支出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3.97万元（其中：一般公共预算支出3.97万元；政府性基金预算支出0万元；国有资本经营预算支出0万元），支出决算3.97万元（其中：一般公共预算支出3.97万元；政府性基金预算支出0万元；国有资本经营预算支出0万元），完成调整后预算的100%，决算数与预算数相同。全年使用财政拨款涉及的出国（境）团组2个，累计2人次。开支内容：因公出国（境）考察期间住宿、伙食、交通等费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1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9.08万元（其中：一般公共预算支出9.08万元；政府性基金预算支出0万元；国有资本经营预算支出0万元），支出决算9.08万元（其中：一般公共预算支出9.08万元；政府性基金预算支出0万元；国有资本经营预算支出0万元），完成调整后预算的100%，决算数与预算数相同。其中：国内公务接待支出9.08万元，接待57批次，595人次，开支内容：接待上级部门来苏考察、调研及国内其他单位来苏学习交流产生餐饮等接待支出；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8.44万元（其中：一般公共预算支出8.44万元；政府性基金预算支出0万元；国有资本经营预算支出0万元），支出决算8.44万元（其中：一般公共预算支出8.44万元；政府性基金预算支出0万元；国有资本经营预算支出0万元），完成调整后预算的100%，决算数与预算数相同。2025年度全年召开会议9个，参加会议493人次，开支内容：召开全市民政工作会议及社会组织管理、养老、社会事务等领域条线会议。</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47.02万元（其中：一般公共预算支出47.02万元；政府性基金预算支出0万元；国有资本经营预算支出0万元），支出决算47.02万元（其中：一般公共预算支出47.02万元；政府性基金预算支出0万元；国有资本经营预算支出0万元），完成调整后预算的100%，决算数与预算数相同。2025年度全年组织培训10个，组织培训1693人次，开支内容：举办民政年轻干部履职能力提升暨新入职人员岗前培训，以及慈善事业、社会组织、规划财务等领域培训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2025年度政府性基金预算财政拨款支出决算631.05万元。与上年相比，减少1,502.63万元，减少70.42%，变动原因：“三项惠老保险”等苏州市市级福利彩票公益金资助项目预算直接下达至相关区，本单位支出减少。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248.28万元（其中：一般公共预算支出248.28万元；政府性基金预算支出0万元；国有资本经营预算支出0万元）。与上年相比，增加83.57万元，增长50.74%，变动原因：1.按照2025年预算结构，职工伙食、体检、党团活动费等原项目支出列基本支出中的商品服务支出；2.年中提高在职职工工资发放标准和公积金、养老保险、职业年金等缴费基数，人员经费增加。综上，本单位2025年度机关运行经费较上年度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6,652.16万元，其中：政府采购货物支出68.48万元、政府采购工程支出0万元、政府采购服务支出6,583.68万元。政府采购授予中小企业合同金额679.41万元，占政府采购支出总额的10.21%，其中：授予小微企业合同金额679.41万元，占授予中小企业合同金额的100%。</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1辆，其中：副部(省)级及以上领导用车0辆、主要负责人用车0辆、机要通信用车0辆、应急保障用车0辆、执法执勤用车0辆、特种专业技术用车0辆、离退休干部用车0辆、其他用车1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本单位共对上年度已实施完成的12个项目开展了绩效自评价，涉及财政性资金合计10,380.78万元；本单位共开展1项单位整体支出绩效自评价，涉及财政性资金合计13,263.94万元。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十九、一般公共服务支出(类)政府办公厅（室）及相关机构事务(款)一般行政管理事务(项)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二十、一般公共服务支出(类)政府办公厅（室）及相关机构事务(款)其他政府办公厅（室）及相关机构事务支出(项)</w:t>
      </w:r>
      <w:r>
        <w:rPr>
          <w:b w:val="on"/>
          <w:rFonts w:ascii="仿宋" w:eastAsia="仿宋" w:hAnsi="仿宋" w:cs="仿宋"/>
          <w:u w:color="auto"/>
        </w:rPr>
        <w:t>：</w:t>
      </w:r>
      <w:r>
        <w:rPr>
          <w:rFonts w:hint="eastAsia" w:ascii="仿宋" w:hAnsi="仿宋" w:eastAsia="仿宋" w:cs="仿宋"/>
        </w:rPr>
        <w:t>反映除上述项目以外的其他政府办公厅（室）及相关机构事务支出。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二十一、一般公共服务支出(类)发展与改革事务(款)一般行政管理事务(项)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二十二、一般公共服务支出(类)其他共产党事务支出(款)一般行政管理事务(项)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二十三、一般公共服务支出(类)社会工作事务(款)专项业务(项)</w:t>
      </w:r>
      <w:r>
        <w:rPr>
          <w:b w:val="on"/>
          <w:rFonts w:ascii="仿宋" w:eastAsia="仿宋" w:hAnsi="仿宋" w:cs="仿宋"/>
          <w:u w:color="auto"/>
        </w:rPr>
        <w:t>：</w:t>
      </w:r>
      <w:r>
        <w:rPr>
          <w:rFonts w:hint="eastAsia" w:ascii="仿宋" w:hAnsi="仿宋" w:eastAsia="仿宋" w:cs="仿宋"/>
        </w:rPr>
        <w:t>反映社会工作部门开展专项业务活动的支出。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二十四、社会保障和就业支出(类)民政管理事务(款)行政运行(项)</w:t>
      </w:r>
      <w:r>
        <w:rPr>
          <w:b w:val="on"/>
          <w:rFonts w:ascii="仿宋" w:eastAsia="仿宋" w:hAnsi="仿宋" w:cs="仿宋"/>
          <w:u w:color="auto"/>
        </w:rPr>
        <w:t>：</w:t>
      </w:r>
      <w:r>
        <w:rPr>
          <w:rFonts w:hint="eastAsia" w:ascii="仿宋" w:hAnsi="仿宋" w:eastAsia="仿宋" w:cs="仿宋"/>
        </w:rPr>
        <w:t>反映行政单位（包括实行公务员管理的事业单位）的基本支出。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二十五、社会保障和就业支出(类)民政管理事务(款)行政区划和地名管理(项)</w:t>
      </w:r>
      <w:r>
        <w:rPr>
          <w:b w:val="on"/>
          <w:rFonts w:ascii="仿宋" w:eastAsia="仿宋" w:hAnsi="仿宋" w:cs="仿宋"/>
          <w:u w:color="auto"/>
        </w:rPr>
        <w:t>：</w:t>
      </w:r>
      <w:r>
        <w:rPr>
          <w:rFonts w:hint="eastAsia" w:ascii="仿宋" w:hAnsi="仿宋" w:eastAsia="仿宋" w:cs="仿宋"/>
        </w:rPr>
        <w:t>反映行政区域界线勘定、维护，以及行政区划和地名管理支出。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二十六、社会保障和就业支出(类)民政管理事务(款)其他民政管理事务支出(项)</w:t>
      </w:r>
      <w:r>
        <w:rPr>
          <w:b w:val="on"/>
          <w:rFonts w:ascii="仿宋" w:eastAsia="仿宋" w:hAnsi="仿宋" w:cs="仿宋"/>
          <w:u w:color="auto"/>
        </w:rPr>
        <w:t>：</w:t>
      </w:r>
      <w:r>
        <w:rPr>
          <w:rFonts w:hint="eastAsia" w:ascii="仿宋" w:hAnsi="仿宋" w:eastAsia="仿宋" w:cs="仿宋"/>
        </w:rPr>
        <w:t>反映除上述项目以外其他用于民政管理事务的支出。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二十七、社会保障和就业支出(类)行政事业单位养老支出(款)行政单位离退休(项)</w:t>
      </w:r>
      <w:r>
        <w:rPr>
          <w:b w:val="on"/>
          <w:rFonts w:ascii="仿宋" w:eastAsia="仿宋" w:hAnsi="仿宋" w:cs="仿宋"/>
          <w:u w:color="auto"/>
        </w:rPr>
        <w:t>：</w:t>
      </w:r>
      <w:r>
        <w:rPr>
          <w:rFonts w:hint="eastAsia" w:ascii="仿宋" w:hAnsi="仿宋" w:eastAsia="仿宋" w:cs="仿宋"/>
        </w:rPr>
        <w:t>反映行政单位（包括实行公务员管理的事业单位）开支的离退休经费。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二十九、社会保障和就业支出(类)行政事业单位养老支出(款)机关事业单位职业年金缴费支出(项)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三十、社会保障和就业支出(类)抚恤(款)死亡抚恤(项)</w:t>
      </w:r>
      <w:r>
        <w:rPr>
          <w:b w:val="on"/>
          <w:rFonts w:ascii="仿宋" w:eastAsia="仿宋" w:hAnsi="仿宋" w:cs="仿宋"/>
          <w:u w:color="auto"/>
        </w:rPr>
        <w:t>：</w:t>
      </w:r>
      <w:r>
        <w:rPr>
          <w:rFonts w:hint="eastAsia" w:ascii="仿宋" w:hAnsi="仿宋" w:eastAsia="仿宋" w:cs="仿宋"/>
        </w:rPr>
        <w:t>反映按规定用于烈士和牺牲、病故人员家属的一次性和定期抚恤金、丧葬补助费以及烈士褒扬金。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三十一、社会保障和就业支出(类)社会福利(款)养老服务(项)</w:t>
      </w:r>
      <w:r>
        <w:rPr>
          <w:b w:val="on"/>
          <w:rFonts w:ascii="仿宋" w:eastAsia="仿宋" w:hAnsi="仿宋" w:cs="仿宋"/>
          <w:u w:color="auto"/>
        </w:rPr>
        <w:t>：</w:t>
      </w:r>
      <w:r>
        <w:rPr>
          <w:rFonts w:hint="eastAsia" w:ascii="仿宋" w:hAnsi="仿宋" w:eastAsia="仿宋" w:cs="仿宋"/>
        </w:rPr>
        <w:t>反映财政在养老服务方面的补助支出，包括支持居家养老服务、社区养老服务和机构养老服务的支出，对养老服务机构的运营、建设补助支出等，不包括对社会福利事业单位的补助支出。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三十二、社会保障和就业支出(类)临时救助(款)临时救助支出(项)</w:t>
      </w:r>
      <w:r>
        <w:rPr>
          <w:b w:val="on"/>
          <w:rFonts w:ascii="仿宋" w:eastAsia="仿宋" w:hAnsi="仿宋" w:cs="仿宋"/>
          <w:u w:color="auto"/>
        </w:rPr>
        <w:t>：</w:t>
      </w:r>
      <w:r>
        <w:rPr>
          <w:rFonts w:hint="eastAsia" w:ascii="仿宋" w:hAnsi="仿宋" w:eastAsia="仿宋" w:cs="仿宋"/>
        </w:rPr>
        <w:t>反映用于城乡生活困难居民的临时救助支出。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三十三、卫生健康支出(类)其他卫生健康支出(款)其他卫生健康支出(项)</w:t>
      </w:r>
      <w:r>
        <w:rPr>
          <w:b w:val="on"/>
          <w:rFonts w:ascii="仿宋" w:eastAsia="仿宋" w:hAnsi="仿宋" w:cs="仿宋"/>
          <w:u w:color="auto"/>
        </w:rPr>
        <w:t>：</w:t>
      </w:r>
      <w:r>
        <w:rPr>
          <w:rFonts w:hint="eastAsia" w:ascii="仿宋" w:hAnsi="仿宋" w:eastAsia="仿宋" w:cs="仿宋"/>
        </w:rPr>
        <w:t>反映除上述项目以外其他用于卫生健康方面的支出。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三十四、住房保障支出(类)住房改革支出(款)住房公积金(项)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三十五、住房保障支出(类)住房改革支出(款)提租补贴(项)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三十六、住房保障支出(类)住房改革支出(款)购房补贴(项)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三十七、其他支出(类)彩票公益金安排的支出(款)用于社会福利的彩票公益金支出(项)</w:t>
      </w:r>
      <w:r>
        <w:rPr>
          <w:b w:val="on"/>
          <w:rFonts w:ascii="仿宋" w:eastAsia="仿宋" w:hAnsi="仿宋" w:cs="仿宋"/>
          <w:u w:color="auto"/>
        </w:rPr>
        <w:t>：</w:t>
      </w:r>
      <w:r>
        <w:rPr>
          <w:rFonts w:hint="eastAsia" w:ascii="仿宋" w:hAnsi="仿宋" w:eastAsia="仿宋" w:cs="仿宋"/>
        </w:rPr>
        <w:t>反映用于社会福利和社会救助的彩票公益金支出。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三十八、其他支出(类)其他支出(款)其他支出(项)</w:t>
      </w:r>
      <w:r>
        <w:rPr>
          <w:b w:val="on"/>
          <w:rFonts w:ascii="仿宋" w:eastAsia="仿宋" w:hAnsi="仿宋" w:cs="仿宋"/>
          <w:u w:color="auto"/>
        </w:rPr>
        <w:t>：</w:t>
      </w:r>
      <w:r>
        <w:rPr>
          <w:rFonts w:hint="eastAsia" w:ascii="仿宋" w:hAnsi="仿宋" w:eastAsia="仿宋" w:cs="仿宋"/>
        </w:rPr>
        <w:t>反映除上述项目以外其他不能划分到具体功能科目中的支出项目。</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苏州市民政局</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