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210" w:leftChars="100" w:right="210" w:rightChars="100"/>
        <w:jc w:val="distribute"/>
        <w:textAlignment w:val="auto"/>
        <w:rPr>
          <w:rFonts w:hint="default" w:ascii="Nimbus Roman No9 L" w:hAnsi="Nimbus Roman No9 L" w:eastAsia="方正小标宋_GBK" w:cs="Nimbus Roman No9 L"/>
          <w:color w:val="FF0000"/>
          <w:spacing w:val="-23"/>
          <w:w w:val="80"/>
          <w:kern w:val="0"/>
          <w:sz w:val="96"/>
          <w:szCs w:val="96"/>
        </w:rPr>
      </w:pPr>
      <w:r>
        <w:rPr>
          <w:rFonts w:hint="default" w:ascii="Nimbus Roman No9 L" w:hAnsi="Nimbus Roman No9 L" w:eastAsia="方正小标宋_GBK" w:cs="Nimbus Roman No9 L"/>
          <w:color w:val="FF0000"/>
          <w:spacing w:val="-23"/>
          <w:w w:val="80"/>
          <w:kern w:val="0"/>
          <w:sz w:val="96"/>
          <w:szCs w:val="96"/>
        </w:rPr>
        <w:t>苏州市民政局</w:t>
      </w:r>
    </w:p>
    <w:p>
      <w:pPr>
        <w:spacing w:line="580" w:lineRule="exact"/>
        <w:rPr>
          <w:rFonts w:ascii="Times New Roman" w:hAnsi="Times New Roman" w:eastAsia="方正小标宋_GBK" w:cs="Times New Roman"/>
          <w:w w:val="100"/>
          <w:kern w:val="0"/>
          <w:sz w:val="44"/>
          <w:szCs w:val="44"/>
        </w:rPr>
      </w:pPr>
      <w:r>
        <w:rPr>
          <w:rFonts w:hint="default" w:ascii="Nimbus Roman No9 L" w:hAnsi="Nimbus Roman No9 L" w:cs="Nimbus Roman No9 L"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align>center</wp:align>
                </wp:positionH>
                <wp:positionV relativeFrom="paragraph">
                  <wp:posOffset>40005</wp:posOffset>
                </wp:positionV>
                <wp:extent cx="5581650" cy="3810"/>
                <wp:effectExtent l="0" t="0" r="0" b="0"/>
                <wp:wrapNone/>
                <wp:docPr id="9" name="直接连接符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81650" cy="3810"/>
                        </a:xfrm>
                        <a:prstGeom prst="line">
                          <a:avLst/>
                        </a:prstGeom>
                        <a:ln w="28575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top:3.15pt;height:0.3pt;width:439.5pt;mso-position-horizontal:center;z-index:251659264;mso-width-relative:page;mso-height-relative:page;" filled="f" stroked="t" coordsize="21600,21600" o:gfxdata="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WAAAAZHJzL1BLAQIUABQAAAAIAIdO4kDOCKEp0wAAAAQBAAAPAAAAAAAA&#10;AAEAIAAAADgAAABkcnMvZG93bnJldi54bWxQSwECFAAUAAAACACHTuJAI4e8SgECAAD2AwAADgAA&#10;AAAAAAABACAAAAA4AQAAZHJzL2Uyb0RvYy54bWxQSwUGAAAAAAYABgBZAQAAqwUAAAAA&#10;">
                <v:fill on="f" focussize="0,0"/>
                <v:stroke weight="2.25pt" color="#FF0000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ascii="Times New Roman" w:hAnsi="Times New Roman" w:eastAsia="方正小标宋_GBK" w:cs="Times New Roman"/>
          <w:w w:val="100"/>
          <w:kern w:val="0"/>
          <w:sz w:val="44"/>
          <w:szCs w:val="44"/>
        </w:rPr>
      </w:pPr>
      <w:r>
        <w:rPr>
          <w:rFonts w:hint="eastAsia" w:ascii="Times New Roman" w:hAnsi="Times New Roman" w:eastAsia="方正小标宋_GBK" w:cs="Times New Roman"/>
          <w:w w:val="100"/>
          <w:kern w:val="0"/>
          <w:sz w:val="44"/>
          <w:szCs w:val="44"/>
        </w:rPr>
        <w:t>全市性社会组织2025年度检查拟定结论公示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ascii="Times New Roman" w:hAnsi="Times New Roman" w:eastAsia="方正楷体_GBK" w:cs="Times New Roman"/>
          <w:kern w:val="0"/>
          <w:sz w:val="32"/>
          <w:szCs w:val="32"/>
        </w:rPr>
      </w:pPr>
      <w:r>
        <w:rPr>
          <w:rFonts w:ascii="Times New Roman" w:hAnsi="Times New Roman" w:eastAsia="方正楷体_GBK" w:cs="Times New Roman"/>
          <w:kern w:val="0"/>
          <w:sz w:val="32"/>
          <w:szCs w:val="32"/>
        </w:rPr>
        <w:t>（第</w:t>
      </w:r>
      <w:r>
        <w:rPr>
          <w:rFonts w:hint="eastAsia" w:ascii="Times New Roman" w:hAnsi="Times New Roman" w:eastAsia="方正楷体_GBK" w:cs="Times New Roman"/>
          <w:kern w:val="0"/>
          <w:sz w:val="32"/>
          <w:szCs w:val="32"/>
          <w:lang w:eastAsia="zh-CN"/>
        </w:rPr>
        <w:t>二</w:t>
      </w:r>
      <w:r>
        <w:rPr>
          <w:rFonts w:ascii="Times New Roman" w:hAnsi="Times New Roman" w:eastAsia="方正楷体_GBK" w:cs="Times New Roman"/>
          <w:kern w:val="0"/>
          <w:sz w:val="32"/>
          <w:szCs w:val="32"/>
        </w:rPr>
        <w:t>批）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ascii="Times New Roman" w:hAnsi="Times New Roman" w:cs="Times New Roman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kern w:val="0"/>
          <w:sz w:val="32"/>
          <w:szCs w:val="32"/>
        </w:rPr>
        <w:t>根据国务院《社会团体登记管理条例》《民办非企业单位登记管理暂行条例》、民政部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eastAsia="zh-CN"/>
        </w:rPr>
        <w:t>《社会团体年度检查办法》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</w:rPr>
        <w:t>《民办非企业单位年度检查办法》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eastAsia="zh-CN"/>
        </w:rPr>
        <w:t>、省民政厅《江苏省社会团体年度检查实施办法》以及市民政局202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5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eastAsia="zh-CN"/>
        </w:rPr>
        <w:t>年度检查通知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</w:rPr>
        <w:t>，现将第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eastAsia="zh-CN"/>
        </w:rPr>
        <w:t>二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</w:rPr>
        <w:t>批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u w:val="none"/>
          <w:lang w:val="en-US" w:eastAsia="zh-CN"/>
        </w:rPr>
        <w:t>223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</w:rPr>
        <w:t>家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eastAsia="zh-CN"/>
        </w:rPr>
        <w:t>全市性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</w:rPr>
        <w:t>社会组织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202</w:t>
      </w:r>
      <w:bookmarkStart w:id="0" w:name="_GoBack"/>
      <w:bookmarkEnd w:id="0"/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5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</w:rPr>
        <w:t>年度检查拟定结论予以公示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eastAsia="zh-CN"/>
        </w:rPr>
        <w:t>，其中社会团体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u w:val="none"/>
          <w:lang w:val="en-US" w:eastAsia="zh-CN"/>
        </w:rPr>
        <w:t>138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家，民办非企业单位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u w:val="none"/>
          <w:lang w:val="en-US" w:eastAsia="zh-CN"/>
        </w:rPr>
        <w:t>85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家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Times New Roman" w:hAnsi="Times New Roman" w:eastAsia="方正仿宋_GBK" w:cs="Times New Roman"/>
          <w:kern w:val="0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eastAsia="zh-CN"/>
        </w:rPr>
        <w:t>年检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拟定结论按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eastAsia="zh-CN"/>
        </w:rPr>
        <w:t>社会组织名称的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</w:rPr>
        <w:t>拼音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eastAsia="zh-CN"/>
        </w:rPr>
        <w:t>顺序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排序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eastAsia="zh-CN"/>
        </w:rPr>
        <w:t>。同步在江苏省社会组织信用信息公示平台公示。查询方式：电脑端网址：http://shzzgs.jszhmz.cn/shzz.html；手机端：关注“江苏社会组织动态”微信公众号，点击“微查询—江苏社会组织”，选择“信息公告”，可查看年检结论公示、年检结论公告信息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kern w:val="0"/>
          <w:sz w:val="32"/>
          <w:szCs w:val="32"/>
        </w:rPr>
        <w:t>任何单位或个人如对公示的拟定年检结论持有异议，均可在公示期间，通过书面形式向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eastAsia="zh-CN"/>
        </w:rPr>
        <w:t>苏州市民政综合服务中心社会组织科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</w:rPr>
        <w:t>举报或反映。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kern w:val="0"/>
          <w:sz w:val="32"/>
          <w:szCs w:val="32"/>
        </w:rPr>
        <w:t>公示期：5个工作日（截止日期为2026年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11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</w:rPr>
        <w:t>月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12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</w:rPr>
        <w:t>日）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eastAsia="zh-CN"/>
        </w:rPr>
        <w:t>电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eastAsia="zh-CN"/>
        </w:rPr>
        <w:t>话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</w:rPr>
        <w:t>：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0512-65222509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邮  箱：szzx65242229@163.com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kern w:val="0"/>
          <w:sz w:val="32"/>
          <w:szCs w:val="32"/>
        </w:rPr>
        <w:t>地  址：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eastAsia="zh-CN"/>
        </w:rPr>
        <w:t>苏州市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桐泾南路728号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eastAsia="方正仿宋_GBK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附件1：全市性社会团体2025年度检查拟定结论（第二批）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附件2：市属民办非企业单位2025年度检查拟定结论（第二批）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eastAsia="方正仿宋_GBK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eastAsia="方正仿宋_GBK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0" w:firstLineChars="2000"/>
        <w:jc w:val="left"/>
        <w:textAlignment w:val="auto"/>
        <w:rPr>
          <w:rFonts w:hint="eastAsia" w:ascii="Times New Roman" w:hAnsi="Times New Roman" w:eastAsia="方正仿宋_GBK" w:cs="Times New Roman"/>
          <w:kern w:val="0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eastAsia="zh-CN"/>
        </w:rPr>
        <w:t>苏州市民政局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080" w:firstLineChars="1900"/>
        <w:jc w:val="left"/>
        <w:textAlignment w:val="auto"/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sectPr>
          <w:footerReference r:id="rId3" w:type="default"/>
          <w:pgSz w:w="11906" w:h="16838"/>
          <w:pgMar w:top="2041" w:right="1559" w:bottom="1928" w:left="1559" w:header="737" w:footer="680" w:gutter="0"/>
          <w:cols w:space="720" w:num="1"/>
          <w:rtlGutter w:val="0"/>
          <w:docGrid w:type="linesAndChars" w:linePitch="312" w:charSpace="0"/>
        </w:sectPr>
      </w:pP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2026年11月6日</w:t>
      </w:r>
    </w:p>
    <w:p>
      <w:pP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全市性社会团体2025年度检查拟定结论（第二批）</w:t>
      </w:r>
    </w:p>
    <w:tbl>
      <w:tblPr>
        <w:tblStyle w:val="3"/>
        <w:tblW w:w="828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5376"/>
        <w:gridCol w:w="183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社会组织名称（按拼音顺序排序）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拟定结论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东南大学苏州校友会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南京大学苏州校友会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苏州产学研协同创新联盟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苏州海外联谊会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苏州开发区研究会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苏州跨境电子商务协会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苏州老年健康服务业协会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苏州民营口腔医疗协会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苏州评弹艺术促进会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苏州市安全生产技术协会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苏州市安全生产科技管理协会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苏州市百货业商会（百货行业协会）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苏州市搬家运输服务行业协会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苏州市半导体行业协会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苏州市保安服务行业协会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苏州市保龄球运动协会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苏州市北大企业家商会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苏州市残疾人康复协会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苏州市仓储行业协会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苏州市创意产业协会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苏州市大米协会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苏州市大众餐饮行业协会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苏州市党的建设学会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苏州市党外知识分子联谊会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苏州市地学会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苏州市钓鱼协会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苏州市飞镖运动协会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苏州市风景园林学会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苏州市冯梦龙研究会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苏州市钢琴学会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苏州市个体出租车协会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苏州市工业设计商会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苏州市工艺美术学会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苏州市观赏石协会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苏州市国际旅行社协会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苏州市海外投资发展协会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苏州市海峡两岸婚姻家庭协会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苏州市海峡两岸农业交流协会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苏州市航空运动和模型运动协会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苏州市核雕艺术家协会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苏州市华侨福利基金互助会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苏州市环境文化协会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苏州市护工协会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苏州市基层法律服务工作者协会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苏州市机动车驾驶员培训行业协会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苏州市激光与光学工程学会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苏州市建筑金属结构协会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苏州市经济学会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苏州市经理人协会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苏州市金融学会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苏州市金融业商会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苏州市酒吧咖啡茶楼联合会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苏州市抗癌协会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苏州市快递协会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苏州市篮球协会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苏州市朗诵协会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苏州市老区开发（乡村振兴）促进会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苏州市冷链行业协会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苏州市粮油行业协会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苏州市溧阳商会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苏州市辽宁商会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苏州市聋人协会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苏州市旅游景区景点协会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苏州市旅游文化产业协会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苏州市绿色建筑行业协会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苏州市农村经济研究会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苏州市农民体育协会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苏州市农学会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苏州市汽车工业行业协会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苏州市汽车租赁协会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苏州市青年书法家协会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苏州市青少年书画协会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苏州市全民阅读促进会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苏州市燃气协会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苏州市人大工作理论研究会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苏州市人工智能学会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苏州市人民对外友好协会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苏州市人民调解协会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苏州市软件行业协会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苏州市商标协会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苏州市社会学学会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苏州市射击运动协会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苏州市设计产业联合会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苏州市审计学会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苏州市诗词协会和沧浪诗社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苏州市食品行业协会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苏州市石锁运动协会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苏州市食用菌协会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苏州市手工艺与民间艺术促进会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苏州市手球协会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苏州市书画研究会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苏州市思想政治工作研究会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苏州市塑料业商会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苏州市投资管理研究会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苏州市退役军人就业创业服务促进会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苏州市卫生信息与健康医疗大数据学会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苏州市文化和旅游联合会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苏州市无线电和定向运动协会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苏州市物流与采购联合会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苏州市物业管理协会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苏州市洗涤行业协会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苏州市戏剧家协会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苏州市心理卫生协会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苏州市烟花爆竹行业监管协会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苏州市眼镜业同业公会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苏州市演艺行业联合会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苏州市医保定点医药机构协会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苏州市医疗器械行业协会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苏州市医药价格研究会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苏州市医院协会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苏州市营养与健康协会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苏州市硬笔书法协会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苏州市预防医学会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苏州市杂技家协会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苏州市再生资源行业协会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苏州市政协联谊会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苏州市制冷学会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苏州市质量检验认证协会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苏州市中科大企业家商会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苏州市中西医结合学会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苏州市综合交通运输学会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苏州市总商会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苏州玄妙观尚道慈爱功德会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苏州智能制造产业协会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苏州装饰设计行业协会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苏州市商业经济学会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基本合格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苏州市刑事和解救助协会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基本合格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苏州生产性服务业协会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苏州市保健养生行业协会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苏州市登山户外运动协会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苏州市笛箫文化研究会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苏州市咖啡西餐业商会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苏州市龙舟协会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苏州市农村经济学会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苏州市田径运动协会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苏州市土木建筑学会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苏州市外商投资企业协会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</w:t>
            </w:r>
          </w:p>
        </w:tc>
        <w:tc>
          <w:tcPr>
            <w:tcW w:w="5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苏州市育山科技协会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不合格</w:t>
            </w:r>
          </w:p>
        </w:tc>
      </w:tr>
    </w:tbl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jc w:val="left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市属民办非企业单位2025年度检查拟定结论（第二批）</w:t>
      </w:r>
    </w:p>
    <w:tbl>
      <w:tblPr>
        <w:tblStyle w:val="3"/>
        <w:tblW w:w="830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7"/>
        <w:gridCol w:w="5349"/>
        <w:gridCol w:w="184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5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社会组织名称（按拼音顺序排序）</w:t>
            </w: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拟定结论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5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苏州爱乐乐团</w:t>
            </w: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0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534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苏州沧浪艺术团</w:t>
            </w:r>
          </w:p>
        </w:tc>
        <w:tc>
          <w:tcPr>
            <w:tcW w:w="184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苏州枫桥酒文化博物馆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苏州高风堂美术馆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苏州姑苏虎丘门诊部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苏州国际精英创业周落户企业联盟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苏州国裕外语学校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苏州虹美美术馆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苏州华瑞霞辉老年精神关爱服务中心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苏州基金博物馆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苏州开明公益社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苏州驴先生体育服务中心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苏州七彩阳光健康咨询服务中心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苏州柒号校服博物馆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苏州仁和康健公益社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苏州仁家护理院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苏州融灿残障融合服务中心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苏州三石钢琴艺术研究院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苏州市博爱居公益服务中心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苏州市风云软件职业培训学校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苏州市汇思人力资源研究所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苏州市继续教育培训中心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苏州市健康管理服务中心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苏州市剑鱼皮划艇运动俱乐部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苏州市晋眉职业技术培训中心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苏州市科普促进中心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苏州市林林体育舞蹈运动俱乐部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苏州市明善公益养老服务中心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苏州市明式苏作家具文化研究院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苏州市全创职业培训学校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苏州市社保企业退休人员档案管理服务中心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苏州市沈寿刺绣艺术研究中心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苏州市守善创伤医学博物馆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苏州市书香社工事务所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苏州市苏帮菜餐饮文化博物馆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苏州市苏绣文化艺术研究中心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苏州市汀斯社工师事务所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苏州市童伴儿童志愿服务团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苏州市望海水上运动俱乐部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苏州市小鹿定向运动俱乐部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苏州市一起游泳俱乐部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苏州市奕羽羽毛球俱乐部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苏州市政扬帆职业培训学校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苏州市职工艺术团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苏州市佐罗击剑俱乐部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苏州曙光肛肠专科门诊部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苏州太湖书院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苏州太阳城护理院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苏州祥韵牙雕艺术馆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苏州欣升护理院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苏州信服桥公益服务中心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苏州星光国际文化交流服务中心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苏州兴卫护理院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苏州冶金门诊部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苏州衣加衣公益服务中心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苏州颐和家园护理院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苏州正社文化研究院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苏州正源国医馆中医诊所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苏州知盟创新创业管理研究中心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苏州知行公益慈善服务中心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苏州中山进修学校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苏州众合社会工作事务所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苏州奥龙壁球运动俱乐部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基本合格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苏州福纳影视艺术学校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基本合格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苏州海霞港护理院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基本合格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苏州画院美术馆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基本合格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苏州康佳乐护理院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基本合格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苏州雷鹰重型摩托车休闲运动俱乐部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基本合格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苏州巧生炉博物馆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基本合格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苏州市梵融美术馆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基本合格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苏州市海达创造工程研究所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基本合格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苏州市欢乐年华篮球俱乐部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基本合格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苏州市吴韵少年艺术团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基本合格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苏州市雄鹰击剑俱乐部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基本合格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苏州市益普思职业培训学校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基本合格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苏州市中科职业培训学校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基本合格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苏州无言斋民俗博物馆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基本合格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苏州幸福之家公益服务中心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基本合格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苏州砖雕博物馆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基本合格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苏州欢乐鼓公益发展中心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苏州江南市井博物馆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苏州市博冠棋类俱乐部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苏州市长三角健康研究院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苏州市伽人圈瑜伽健身俱乐部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5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苏州市全民健身活动中心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不合格</w:t>
            </w:r>
          </w:p>
        </w:tc>
      </w:tr>
    </w:tbl>
    <w:p>
      <w:pPr>
        <w:rPr>
          <w:rFonts w:hint="default"/>
          <w:lang w:val="en-US" w:eastAsia="zh-CN"/>
        </w:rPr>
      </w:pPr>
    </w:p>
    <w:sectPr>
      <w:pgSz w:w="11906" w:h="16838"/>
      <w:pgMar w:top="2041" w:right="1559" w:bottom="1928" w:left="1559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Noto Sans Ethiopic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Noto Sans Ethiopic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adjustRightInd w:val="0"/>
      <w:jc w:val="center"/>
    </w:pPr>
    <w:r>
      <w:rPr>
        <w:rFonts w:ascii="宋体" w:hAnsi="宋体"/>
        <w:sz w:val="21"/>
        <w:szCs w:val="21"/>
      </w:rPr>
      <w:t>—</w:t>
    </w:r>
    <w:r>
      <w:rPr>
        <w:rFonts w:ascii="Times New Roman" w:hAnsi="Times New Roman"/>
        <w:sz w:val="21"/>
        <w:szCs w:val="21"/>
      </w:rPr>
      <w:t xml:space="preserve"> </w:t>
    </w:r>
    <w:r>
      <w:rPr>
        <w:rFonts w:ascii="Times New Roman" w:hAnsi="Times New Roman"/>
        <w:sz w:val="28"/>
        <w:szCs w:val="28"/>
      </w:rPr>
      <w:fldChar w:fldCharType="begin"/>
    </w:r>
    <w:r>
      <w:rPr>
        <w:rFonts w:ascii="Times New Roman" w:hAnsi="Times New Roman"/>
        <w:sz w:val="28"/>
        <w:szCs w:val="28"/>
      </w:rPr>
      <w:instrText xml:space="preserve"> PAGE   \* MERGEFORMAT </w:instrText>
    </w:r>
    <w:r>
      <w:rPr>
        <w:rFonts w:ascii="Times New Roman" w:hAnsi="Times New Roman"/>
        <w:sz w:val="28"/>
        <w:szCs w:val="28"/>
      </w:rPr>
      <w:fldChar w:fldCharType="separate"/>
    </w:r>
    <w:r>
      <w:rPr>
        <w:rFonts w:ascii="Times New Roman" w:hAnsi="Times New Roman"/>
        <w:sz w:val="28"/>
        <w:szCs w:val="28"/>
      </w:rPr>
      <w:t>3</w:t>
    </w:r>
    <w:r>
      <w:rPr>
        <w:rFonts w:ascii="Times New Roman" w:hAnsi="Times New Roman"/>
        <w:sz w:val="28"/>
        <w:szCs w:val="28"/>
      </w:rPr>
      <w:fldChar w:fldCharType="end"/>
    </w:r>
    <w:r>
      <w:rPr>
        <w:rFonts w:ascii="Times New Roman" w:hAnsi="Times New Roman"/>
        <w:sz w:val="21"/>
        <w:szCs w:val="21"/>
      </w:rPr>
      <w:t xml:space="preserve"> </w:t>
    </w:r>
    <w:r>
      <w:rPr>
        <w:rFonts w:ascii="宋体" w:hAnsi="宋体"/>
        <w:sz w:val="21"/>
        <w:szCs w:val="21"/>
      </w:rPr>
      <w:t>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3BEB696"/>
    <w:rsid w:val="025D08EA"/>
    <w:rsid w:val="11E164E5"/>
    <w:rsid w:val="13460E60"/>
    <w:rsid w:val="148A12B0"/>
    <w:rsid w:val="1E4B57BF"/>
    <w:rsid w:val="200F3851"/>
    <w:rsid w:val="203D202F"/>
    <w:rsid w:val="299B1B74"/>
    <w:rsid w:val="29E37114"/>
    <w:rsid w:val="2B2F07C6"/>
    <w:rsid w:val="36E0506A"/>
    <w:rsid w:val="38E726E0"/>
    <w:rsid w:val="39396CB4"/>
    <w:rsid w:val="3A7C32FC"/>
    <w:rsid w:val="3B474460"/>
    <w:rsid w:val="40042ADC"/>
    <w:rsid w:val="469F45FA"/>
    <w:rsid w:val="49392EA5"/>
    <w:rsid w:val="50792360"/>
    <w:rsid w:val="53EA27D4"/>
    <w:rsid w:val="568D3887"/>
    <w:rsid w:val="63FC2C34"/>
    <w:rsid w:val="643B7C00"/>
    <w:rsid w:val="677671A1"/>
    <w:rsid w:val="693C729D"/>
    <w:rsid w:val="6E663ACB"/>
    <w:rsid w:val="70C53ABB"/>
    <w:rsid w:val="72B15531"/>
    <w:rsid w:val="733743DC"/>
    <w:rsid w:val="733D4372"/>
    <w:rsid w:val="748527D2"/>
    <w:rsid w:val="7B6F6C06"/>
    <w:rsid w:val="E3BEB696"/>
    <w:rsid w:val="EFDE79B6"/>
    <w:rsid w:val="FFFF0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387</Words>
  <Characters>468</Characters>
  <Lines>0</Lines>
  <Paragraphs>0</Paragraphs>
  <TotalTime>20</TotalTime>
  <ScaleCrop>false</ScaleCrop>
  <LinksUpToDate>false</LinksUpToDate>
  <CharactersWithSpaces>472</CharactersWithSpaces>
  <Application>WPS Office_11.8.2.12065_F1E327BC-269C-435d-A152-05C5408002CA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2026-08-28T04:31:00Z</dcterms:created>
  <dc:creator>sz</dc:creator>
  <cp:lastModifiedBy>sz</cp:lastModifiedBy>
  <dcterms:modified xsi:type="dcterms:W3CDTF">2026-11-06T09:52:44Z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2052-11.8.2.12065</vt:lpwstr>
  </property>
  <property fmtid="{D5CDD505-2E9C-101B-9397-08002B2CF9AE}" pid="3" name="ICV">
    <vt:lpwstr>82BEADC6A011B812B1BD8F6A9143BD00</vt:lpwstr>
  </property>
  <property fmtid="{D5CDD505-2E9C-101B-9397-08002B2CF9AE}" pid="4" name="KSOTemplateDocerSaveRecord">
    <vt:lpwstr>eyJoZGlkIjoiZDEwNjY3M2Q4YzNlMDkzZTFmNDg0NzljZjkxYzFkNDkiLCJ1c2VySWQiOiI0NzgxMjk2MjYifQ==</vt:lpwstr>
  </property>
</Properties>
</file>